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732CEA" w:rsidRDefault="00327B6E" w:rsidP="00327B6E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bookmarkStart w:id="0" w:name="_Hlk152143424"/>
      <w:r w:rsidRPr="00732CEA">
        <w:rPr>
          <w:rFonts w:ascii="Arial" w:hAnsi="Arial" w:cs="Arial"/>
          <w:b/>
          <w:u w:val="single"/>
          <w:lang w:val="es-ES"/>
        </w:rPr>
        <w:t>ANEXO NÚM. 1</w:t>
      </w:r>
    </w:p>
    <w:p w:rsidR="00327B6E" w:rsidRPr="00732CEA" w:rsidRDefault="00327B6E" w:rsidP="00327B6E">
      <w:pPr>
        <w:rPr>
          <w:rFonts w:ascii="Arial" w:hAnsi="Arial" w:cs="Arial"/>
          <w:lang w:val="es-ES"/>
        </w:rPr>
      </w:pPr>
    </w:p>
    <w:p w:rsidR="00327B6E" w:rsidRPr="00732CEA" w:rsidRDefault="00327B6E" w:rsidP="00327B6E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732CEA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327B6E" w:rsidRPr="00732CEA" w:rsidRDefault="00327B6E" w:rsidP="00327B6E">
      <w:pPr>
        <w:rPr>
          <w:rFonts w:ascii="Arial" w:hAnsi="Arial" w:cs="Arial"/>
          <w:i/>
          <w:lang w:val="es-ES"/>
        </w:rPr>
      </w:pPr>
    </w:p>
    <w:p w:rsidR="00732CEA" w:rsidRPr="00732CEA" w:rsidRDefault="00732CEA" w:rsidP="00732CEA">
      <w:pPr>
        <w:rPr>
          <w:rFonts w:ascii="Arial" w:eastAsia="Arial" w:hAnsi="Arial" w:cs="Arial"/>
        </w:rPr>
      </w:pPr>
    </w:p>
    <w:p w:rsidR="00732CEA" w:rsidRPr="00732CEA" w:rsidRDefault="00732CEA" w:rsidP="00732CEA">
      <w:pPr>
        <w:pStyle w:val="Cuerpo"/>
        <w:tabs>
          <w:tab w:val="left" w:pos="142"/>
        </w:tabs>
        <w:rPr>
          <w:rStyle w:val="Ninguno"/>
          <w:i/>
          <w:iCs/>
          <w:highlight w:val="green"/>
        </w:rPr>
      </w:pPr>
      <w:r w:rsidRPr="00732C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23870" cy="658495"/>
            <wp:effectExtent l="0" t="0" r="508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CEA" w:rsidRPr="00732CEA" w:rsidRDefault="00732CEA" w:rsidP="00732CEA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</w:rPr>
      </w:pPr>
      <w:bookmarkStart w:id="1" w:name="_Hlk159337693"/>
      <w:r w:rsidRPr="00732CEA">
        <w:rPr>
          <w:rStyle w:val="Ninguno"/>
          <w:rFonts w:ascii="Arial" w:hAnsi="Arial" w:cs="Arial"/>
          <w:i/>
          <w:iCs/>
        </w:rPr>
        <w:t>Proyecto PI23/01397, financiado por el Instituto de Salud Carlos III (ISCIII) y cofinanciado por la Unión Europea.</w:t>
      </w:r>
    </w:p>
    <w:bookmarkEnd w:id="1"/>
    <w:p w:rsidR="00732CEA" w:rsidRPr="00732CEA" w:rsidRDefault="00732CEA" w:rsidP="00732CEA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</w:rPr>
      </w:pPr>
    </w:p>
    <w:p w:rsidR="003F669F" w:rsidRPr="00732CEA" w:rsidRDefault="003F669F" w:rsidP="003F669F">
      <w:pPr>
        <w:pStyle w:val="Cuerpo"/>
        <w:tabs>
          <w:tab w:val="left" w:pos="142"/>
        </w:tabs>
        <w:rPr>
          <w:rStyle w:val="Ninguno"/>
          <w:rFonts w:ascii="Arial" w:eastAsia="Arial" w:hAnsi="Arial" w:cs="Arial"/>
          <w:i/>
          <w:iCs/>
          <w:highlight w:val="green"/>
        </w:rPr>
      </w:pPr>
    </w:p>
    <w:p w:rsidR="003F669F" w:rsidRPr="00732CEA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</w:rPr>
      </w:pPr>
    </w:p>
    <w:p w:rsidR="003F669F" w:rsidRPr="00732CEA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</w:rPr>
      </w:pPr>
    </w:p>
    <w:p w:rsidR="00327B6E" w:rsidRPr="001F23AC" w:rsidRDefault="00327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732CEA">
        <w:rPr>
          <w:rFonts w:ascii="Arial" w:hAnsi="Arial" w:cs="Arial"/>
          <w:i/>
          <w:lang w:val="es-ES"/>
        </w:rPr>
        <w:t>El Sr.</w:t>
      </w:r>
      <w:r w:rsidR="00C64F6F" w:rsidRPr="00732CEA">
        <w:rPr>
          <w:rFonts w:ascii="Arial" w:hAnsi="Arial" w:cs="Arial"/>
          <w:i/>
          <w:lang w:val="es-ES"/>
        </w:rPr>
        <w:t xml:space="preserve"> /La </w:t>
      </w:r>
      <w:r w:rsidR="00C64F6F" w:rsidRPr="001F23AC">
        <w:rPr>
          <w:rFonts w:ascii="Arial" w:hAnsi="Arial" w:cs="Arial"/>
          <w:i/>
          <w:lang w:val="es-ES"/>
        </w:rPr>
        <w:t>Sra.</w:t>
      </w:r>
      <w:r w:rsidRPr="001F23AC">
        <w:rPr>
          <w:rFonts w:ascii="Arial" w:hAnsi="Arial" w:cs="Arial"/>
          <w:i/>
          <w:lang w:val="es-ES"/>
        </w:rPr>
        <w:t xml:space="preserve"> .............................. con </w:t>
      </w:r>
      <w:r w:rsidR="00756034" w:rsidRPr="001F23AC">
        <w:rPr>
          <w:rFonts w:ascii="Arial" w:hAnsi="Arial" w:cs="Arial"/>
          <w:i/>
          <w:lang w:val="es-ES"/>
        </w:rPr>
        <w:t>residencia en .................</w:t>
      </w:r>
      <w:r w:rsidRPr="001F23AC">
        <w:rPr>
          <w:rFonts w:ascii="Arial" w:hAnsi="Arial" w:cs="Arial"/>
          <w:i/>
          <w:lang w:val="es-ES"/>
        </w:rPr>
        <w:t>........................ calle ...................................... núm. ................, de la empres</w:t>
      </w:r>
      <w:r w:rsidR="00756034" w:rsidRPr="001F23AC">
        <w:rPr>
          <w:rFonts w:ascii="Arial" w:hAnsi="Arial" w:cs="Arial"/>
          <w:i/>
          <w:lang w:val="es-ES"/>
        </w:rPr>
        <w:t>a .............................</w:t>
      </w:r>
      <w:r w:rsidRPr="001F23AC">
        <w:rPr>
          <w:rFonts w:ascii="Arial" w:hAnsi="Arial" w:cs="Arial"/>
          <w:i/>
          <w:lang w:val="es-ES"/>
        </w:rPr>
        <w:t>.................., enterado del anuncio public</w:t>
      </w:r>
      <w:r w:rsidR="00756034" w:rsidRPr="001F23AC">
        <w:rPr>
          <w:rFonts w:ascii="Arial" w:hAnsi="Arial" w:cs="Arial"/>
          <w:i/>
          <w:lang w:val="es-ES"/>
        </w:rPr>
        <w:t>ado en ........................</w:t>
      </w:r>
      <w:r w:rsidRPr="001F23AC">
        <w:rPr>
          <w:rFonts w:ascii="Arial" w:hAnsi="Arial" w:cs="Arial"/>
          <w:i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1F23AC" w:rsidRDefault="009A24C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1F23AC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  <w:r w:rsidRPr="001F23AC">
        <w:rPr>
          <w:rStyle w:val="Ninguno"/>
          <w:rFonts w:ascii="Arial" w:hAnsi="Arial"/>
          <w:bCs/>
          <w:lang w:val="es-ES_tradnl"/>
        </w:rPr>
        <w:t xml:space="preserve">Criterios evaluables con </w:t>
      </w:r>
      <w:r w:rsidRPr="001F23AC">
        <w:rPr>
          <w:rStyle w:val="Ninguno"/>
          <w:rFonts w:ascii="Arial" w:hAnsi="Arial"/>
          <w:bCs/>
          <w:color w:val="0000FF"/>
          <w:u w:val="single" w:color="0000FF"/>
          <w:lang w:val="es-ES_tradnl"/>
        </w:rPr>
        <w:t>fórmulas automáticas</w:t>
      </w:r>
    </w:p>
    <w:p w:rsidR="006146B2" w:rsidRPr="001F23AC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345425" w:rsidRPr="001F23AC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1F23AC">
        <w:rPr>
          <w:rFonts w:ascii="Arial" w:hAnsi="Arial" w:cs="Arial"/>
          <w:i/>
          <w:lang w:val="es-ES"/>
        </w:rPr>
        <w:t xml:space="preserve">Oferta económica </w:t>
      </w:r>
    </w:p>
    <w:p w:rsidR="00345425" w:rsidRPr="001F23AC" w:rsidRDefault="00345425" w:rsidP="00345425">
      <w:pPr>
        <w:spacing w:line="260" w:lineRule="exact"/>
        <w:rPr>
          <w:rFonts w:ascii="Arial" w:hAnsi="Arial" w:cs="Arial"/>
          <w:lang w:val="es-E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2402"/>
        <w:gridCol w:w="2401"/>
        <w:gridCol w:w="2010"/>
      </w:tblGrid>
      <w:tr w:rsidR="003F669F" w:rsidRPr="001F23AC" w:rsidTr="00732CEA">
        <w:trPr>
          <w:trHeight w:hRule="exact" w:val="536"/>
          <w:jc w:val="center"/>
        </w:trPr>
        <w:tc>
          <w:tcPr>
            <w:tcW w:w="2538" w:type="dxa"/>
            <w:shd w:val="clear" w:color="auto" w:fill="E7E6E6" w:themeFill="background2"/>
            <w:vAlign w:val="center"/>
          </w:tcPr>
          <w:p w:rsidR="003F669F" w:rsidRPr="001F23AC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F23AC">
              <w:rPr>
                <w:rFonts w:ascii="Arial" w:hAnsi="Arial" w:cs="Arial"/>
                <w:b/>
                <w:bCs/>
                <w:lang w:val="es-ES_tradnl"/>
              </w:rPr>
              <w:t>Descripción</w:t>
            </w:r>
          </w:p>
        </w:tc>
        <w:tc>
          <w:tcPr>
            <w:tcW w:w="2402" w:type="dxa"/>
            <w:shd w:val="clear" w:color="auto" w:fill="E7E6E6" w:themeFill="background2"/>
            <w:vAlign w:val="center"/>
          </w:tcPr>
          <w:p w:rsidR="003F669F" w:rsidRPr="001F23A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F23AC">
              <w:rPr>
                <w:rFonts w:ascii="Arial" w:hAnsi="Arial" w:cs="Arial"/>
                <w:b/>
                <w:bCs/>
                <w:lang w:val="es-ES_tradnl"/>
              </w:rPr>
              <w:t xml:space="preserve">Precio máximo unitario (IVA </w:t>
            </w:r>
            <w:r w:rsidR="008027D6" w:rsidRPr="001F23AC">
              <w:rPr>
                <w:rFonts w:ascii="Arial" w:hAnsi="Arial" w:cs="Arial"/>
                <w:b/>
                <w:bCs/>
                <w:lang w:val="es-ES_tradnl"/>
              </w:rPr>
              <w:t>ex</w:t>
            </w:r>
            <w:r w:rsidRPr="001F23AC">
              <w:rPr>
                <w:rFonts w:ascii="Arial" w:hAnsi="Arial" w:cs="Arial"/>
                <w:b/>
                <w:bCs/>
                <w:lang w:val="es-ES_tradnl"/>
              </w:rPr>
              <w:t>cluido)</w:t>
            </w:r>
          </w:p>
        </w:tc>
        <w:tc>
          <w:tcPr>
            <w:tcW w:w="2401" w:type="dxa"/>
            <w:shd w:val="clear" w:color="auto" w:fill="E7E6E6" w:themeFill="background2"/>
            <w:vAlign w:val="center"/>
          </w:tcPr>
          <w:p w:rsidR="003F669F" w:rsidRPr="001F23A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F23AC">
              <w:rPr>
                <w:rFonts w:ascii="Arial" w:hAnsi="Arial" w:cs="Arial"/>
                <w:b/>
                <w:bCs/>
                <w:lang w:val="es-ES_tradnl"/>
              </w:rPr>
              <w:t>Precio</w:t>
            </w:r>
            <w:r w:rsidR="004315B5">
              <w:rPr>
                <w:rFonts w:ascii="Arial" w:hAnsi="Arial" w:cs="Arial"/>
                <w:b/>
                <w:bCs/>
                <w:lang w:val="es-ES_tradnl"/>
              </w:rPr>
              <w:t xml:space="preserve"> unitario</w:t>
            </w:r>
            <w:r w:rsidRPr="001F23AC">
              <w:rPr>
                <w:rFonts w:ascii="Arial" w:hAnsi="Arial" w:cs="Arial"/>
                <w:b/>
                <w:bCs/>
                <w:lang w:val="es-ES_tradnl"/>
              </w:rPr>
              <w:t xml:space="preserve"> ofrecido (IVA excluido)</w:t>
            </w:r>
          </w:p>
        </w:tc>
        <w:tc>
          <w:tcPr>
            <w:tcW w:w="2010" w:type="dxa"/>
            <w:shd w:val="clear" w:color="auto" w:fill="E7E6E6" w:themeFill="background2"/>
            <w:vAlign w:val="center"/>
          </w:tcPr>
          <w:p w:rsidR="003F669F" w:rsidRPr="001F23A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F23AC">
              <w:rPr>
                <w:rFonts w:ascii="Arial" w:hAnsi="Arial" w:cs="Arial"/>
                <w:b/>
                <w:bCs/>
                <w:lang w:val="es-ES_tradnl"/>
              </w:rPr>
              <w:t>Precio</w:t>
            </w:r>
            <w:r w:rsidR="004315B5">
              <w:rPr>
                <w:rFonts w:ascii="Arial" w:hAnsi="Arial" w:cs="Arial"/>
                <w:b/>
                <w:bCs/>
                <w:lang w:val="es-ES_tradnl"/>
              </w:rPr>
              <w:t xml:space="preserve"> unitario</w:t>
            </w:r>
            <w:r w:rsidRPr="001F23AC">
              <w:rPr>
                <w:rFonts w:ascii="Arial" w:hAnsi="Arial" w:cs="Arial"/>
                <w:b/>
                <w:bCs/>
                <w:lang w:val="es-ES_tradnl"/>
              </w:rPr>
              <w:t xml:space="preserve"> (IVA incluido)</w:t>
            </w:r>
          </w:p>
        </w:tc>
      </w:tr>
      <w:tr w:rsidR="003F669F" w:rsidRPr="001F23AC" w:rsidTr="00732CEA">
        <w:trPr>
          <w:trHeight w:hRule="exact" w:val="787"/>
          <w:jc w:val="center"/>
        </w:trPr>
        <w:tc>
          <w:tcPr>
            <w:tcW w:w="2538" w:type="dxa"/>
            <w:vAlign w:val="center"/>
          </w:tcPr>
          <w:p w:rsidR="003F669F" w:rsidRPr="001F23AC" w:rsidRDefault="00BF1608" w:rsidP="00C64F6F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 w:rsidRPr="001F23AC">
              <w:rPr>
                <w:rFonts w:ascii="Arial" w:hAnsi="Arial" w:cs="Arial"/>
                <w:lang w:val="es-ES" w:eastAsia="en-GB"/>
              </w:rPr>
              <w:t>Servicio</w:t>
            </w:r>
            <w:r w:rsidR="00732CEA">
              <w:rPr>
                <w:rFonts w:ascii="Arial" w:hAnsi="Arial" w:cs="Arial"/>
                <w:lang w:val="es-ES" w:eastAsia="en-GB"/>
              </w:rPr>
              <w:t xml:space="preserve"> por Resonancia Magnética Cardíaca.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F669F" w:rsidRPr="001F23AC" w:rsidRDefault="00BF1608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lang w:val="es-ES_tradnl"/>
              </w:rPr>
            </w:pPr>
            <w:r w:rsidRPr="001F23AC">
              <w:rPr>
                <w:rFonts w:ascii="Arial" w:hAnsi="Arial" w:cs="Arial"/>
                <w:color w:val="FF0000"/>
                <w:lang w:val="es-ES"/>
              </w:rPr>
              <w:t>3</w:t>
            </w:r>
            <w:r w:rsidR="00732CEA">
              <w:rPr>
                <w:rFonts w:ascii="Arial" w:hAnsi="Arial" w:cs="Arial"/>
                <w:color w:val="FF0000"/>
                <w:lang w:val="es-ES"/>
              </w:rPr>
              <w:t>0</w:t>
            </w:r>
            <w:r w:rsidRPr="001F23AC">
              <w:rPr>
                <w:rFonts w:ascii="Arial" w:hAnsi="Arial" w:cs="Arial"/>
                <w:color w:val="FF0000"/>
                <w:lang w:val="es-ES"/>
              </w:rPr>
              <w:t>0</w:t>
            </w:r>
            <w:r w:rsidR="003F669F" w:rsidRPr="001F23AC">
              <w:rPr>
                <w:rFonts w:ascii="Arial" w:hAnsi="Arial" w:cs="Arial"/>
                <w:color w:val="FF0000"/>
                <w:lang w:val="es-ES"/>
              </w:rPr>
              <w:t xml:space="preserve">,00 </w:t>
            </w:r>
            <w:r w:rsidR="003F669F" w:rsidRPr="001F23AC">
              <w:rPr>
                <w:rStyle w:val="Ninguno"/>
                <w:rFonts w:ascii="Arial" w:hAnsi="Arial"/>
                <w:color w:val="FF0000"/>
                <w:lang w:val="es-ES_tradnl"/>
              </w:rPr>
              <w:t>euros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3F669F" w:rsidRPr="001F23AC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1F23AC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3F669F" w:rsidRPr="001F23AC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1F23AC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</w:tr>
    </w:tbl>
    <w:p w:rsidR="008027D6" w:rsidRPr="001F23AC" w:rsidRDefault="008027D6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1F23AC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1F23AC">
        <w:rPr>
          <w:rFonts w:ascii="Arial" w:hAnsi="Arial" w:cs="Arial"/>
          <w:i/>
          <w:lang w:val="es-ES"/>
        </w:rPr>
        <w:t xml:space="preserve">Oferta de evaluación automática </w:t>
      </w:r>
    </w:p>
    <w:p w:rsidR="0012792D" w:rsidRPr="001F23AC" w:rsidRDefault="0012792D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1F23AC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1F23AC">
        <w:rPr>
          <w:rFonts w:ascii="Arial" w:hAnsi="Arial" w:cs="Arial"/>
          <w:lang w:val="es-ES"/>
        </w:rPr>
        <w:t>Marcar con una “x” la casilla correspondiente a Sí o No, e introducir en la columna de observaciones el número que corresponda en el apartado [</w:t>
      </w:r>
      <w:r w:rsidRPr="001F23AC">
        <w:rPr>
          <w:rFonts w:ascii="Arial" w:hAnsi="Arial" w:cs="Arial"/>
          <w:i/>
          <w:lang w:val="es-ES"/>
        </w:rPr>
        <w:t>N</w:t>
      </w:r>
      <w:r w:rsidR="00C32A99">
        <w:rPr>
          <w:rFonts w:ascii="Arial" w:hAnsi="Arial" w:cs="Arial"/>
          <w:i/>
          <w:lang w:val="es-ES"/>
        </w:rPr>
        <w:t>úm.</w:t>
      </w:r>
      <w:r w:rsidRPr="001F23AC">
        <w:rPr>
          <w:rFonts w:ascii="Arial" w:hAnsi="Arial" w:cs="Arial"/>
          <w:lang w:val="es-ES"/>
        </w:rPr>
        <w:t xml:space="preserve">]. </w:t>
      </w:r>
      <w:r w:rsidR="001F23AC" w:rsidRPr="001F23AC">
        <w:rPr>
          <w:rFonts w:ascii="Arial" w:hAnsi="Arial" w:cs="Arial"/>
          <w:lang w:val="es-ES"/>
        </w:rPr>
        <w:t>Se debe aportar documentación acreditativa:</w:t>
      </w:r>
    </w:p>
    <w:p w:rsidR="0012792D" w:rsidRPr="001F23AC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3869"/>
      </w:tblGrid>
      <w:tr w:rsidR="00C634B3" w:rsidRPr="001F23AC" w:rsidTr="008027D6">
        <w:trPr>
          <w:trHeight w:val="365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</w:pPr>
            <w:r w:rsidRPr="001F23AC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F23AC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Marcar con una “x”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F23AC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</w:tr>
      <w:tr w:rsidR="00C634B3" w:rsidRPr="001F23AC" w:rsidTr="008027D6">
        <w:trPr>
          <w:trHeight w:val="189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F23AC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F23AC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C634B3" w:rsidRPr="001F23AC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732CEA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lang w:val="es-ES"/>
              </w:rPr>
            </w:pPr>
            <w:r w:rsidRPr="00732CEA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El centro donde se realizará puede proporcionar valores de referencia en voluntarios sanos con su secuencia de 4D </w:t>
            </w:r>
            <w:proofErr w:type="spellStart"/>
            <w:r w:rsidRPr="00732CEA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flow</w:t>
            </w:r>
            <w:proofErr w:type="spellEnd"/>
            <w:r w:rsidRPr="00732CEA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, aportando un conjunto de al menos 20 estudios anonimizados de RM 4D </w:t>
            </w:r>
            <w:proofErr w:type="spellStart"/>
            <w:r w:rsidRPr="00732CEA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flow</w:t>
            </w:r>
            <w:proofErr w:type="spellEnd"/>
            <w:r w:rsidRPr="00732CEA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en voluntarios sanos</w:t>
            </w:r>
            <w:r w:rsidR="00BF1608" w:rsidRPr="001F23A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0D327D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0D327D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8027D6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bookmarkStart w:id="2" w:name="_GoBack"/>
            <w:r w:rsidRPr="007231EA">
              <w:rPr>
                <w:rFonts w:ascii="Arial" w:hAnsi="Arial" w:cs="Arial"/>
                <w:i/>
                <w:highlight w:val="lightGray"/>
                <w:lang w:val="es-ES"/>
              </w:rPr>
              <w:t>-</w:t>
            </w:r>
            <w:r w:rsidR="00BF1608" w:rsidRPr="007231EA">
              <w:rPr>
                <w:rFonts w:ascii="Arial" w:hAnsi="Arial" w:cs="Arial"/>
                <w:i/>
                <w:highlight w:val="lightGray"/>
                <w:lang w:val="es-ES"/>
              </w:rPr>
              <w:t>A</w:t>
            </w:r>
            <w:r w:rsidR="00732CEA" w:rsidRPr="007231EA">
              <w:rPr>
                <w:rFonts w:ascii="Arial" w:hAnsi="Arial" w:cs="Arial"/>
                <w:i/>
                <w:highlight w:val="lightGray"/>
                <w:lang w:val="es-ES"/>
              </w:rPr>
              <w:t>portar documentación acreditativa</w:t>
            </w:r>
            <w:r w:rsidR="00BF1608" w:rsidRPr="007231EA">
              <w:rPr>
                <w:rFonts w:ascii="Arial" w:hAnsi="Arial" w:cs="Arial"/>
                <w:i/>
                <w:highlight w:val="lightGray"/>
                <w:lang w:val="es-ES"/>
              </w:rPr>
              <w:t>-</w:t>
            </w:r>
            <w:bookmarkEnd w:id="2"/>
          </w:p>
        </w:tc>
      </w:tr>
      <w:tr w:rsidR="00C634B3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925017" w:rsidRDefault="00732CEA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92501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El centro de realización del servicio dispone de los medios técnicos adecuados para proporcionar las imágenes de RM e informes radiológicos mediante canales telemáticos.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732CEA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-</w:t>
            </w:r>
          </w:p>
        </w:tc>
      </w:tr>
      <w:tr w:rsidR="00732CEA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A" w:rsidRPr="00C32A99" w:rsidRDefault="00732CEA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C32A99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Reducción en el tiempo para enviar los informes radiológicos al equipo investigador (plazo inferior a 10 días) (se valorará de manera proporcional).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highlight w:val="yellow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i/>
                <w:strike/>
                <w:highlight w:val="yellow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925017" w:rsidP="00C634B3">
            <w:pPr>
              <w:jc w:val="center"/>
              <w:rPr>
                <w:rFonts w:ascii="Arial" w:hAnsi="Arial" w:cs="Arial"/>
                <w:i/>
                <w:highlight w:val="yellow"/>
                <w:lang w:val="es-ES"/>
              </w:rPr>
            </w:pPr>
            <w:r w:rsidRPr="00925017">
              <w:rPr>
                <w:rFonts w:ascii="Arial" w:hAnsi="Arial" w:cs="Arial"/>
                <w:i/>
                <w:lang w:val="es-ES"/>
              </w:rPr>
              <w:t>[</w:t>
            </w:r>
            <w:r w:rsidRPr="0093018A">
              <w:rPr>
                <w:rFonts w:ascii="Arial" w:hAnsi="Arial" w:cs="Arial"/>
                <w:i/>
                <w:color w:val="0000FF"/>
                <w:lang w:val="es-ES"/>
              </w:rPr>
              <w:t>Núm.</w:t>
            </w:r>
            <w:r w:rsidRPr="00925017">
              <w:rPr>
                <w:rFonts w:ascii="Arial" w:hAnsi="Arial" w:cs="Arial"/>
                <w:i/>
                <w:lang w:val="es-ES"/>
              </w:rPr>
              <w:t xml:space="preserve">] </w:t>
            </w:r>
            <w:r>
              <w:rPr>
                <w:rFonts w:ascii="Arial" w:hAnsi="Arial" w:cs="Arial"/>
                <w:i/>
                <w:lang w:val="es-ES"/>
              </w:rPr>
              <w:t xml:space="preserve">días para </w:t>
            </w:r>
            <w:r>
              <w:rPr>
                <w:rFonts w:ascii="Arial" w:hAnsi="Arial" w:cs="Arial"/>
                <w:i/>
                <w:lang w:val="es-ES"/>
              </w:rPr>
              <w:t>enviar los informes radiológicos al equipo investigador.</w:t>
            </w:r>
          </w:p>
        </w:tc>
      </w:tr>
      <w:tr w:rsidR="00732CEA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A" w:rsidRPr="00C32A99" w:rsidRDefault="00732CEA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C32A99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Reducción en el tiempo para enviar las imágenes de RM al equipo investigador </w:t>
            </w:r>
            <w:r w:rsidRPr="00C32A99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lastRenderedPageBreak/>
              <w:t>(plazo inferior a 10 días) (se valorará de manera proporcional).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highlight w:val="yellow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i/>
                <w:strike/>
                <w:highlight w:val="yellow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925017" w:rsidP="00C634B3">
            <w:pPr>
              <w:jc w:val="center"/>
              <w:rPr>
                <w:rFonts w:ascii="Arial" w:hAnsi="Arial" w:cs="Arial"/>
                <w:i/>
                <w:highlight w:val="yellow"/>
                <w:lang w:val="es-ES"/>
              </w:rPr>
            </w:pPr>
            <w:r w:rsidRPr="00925017">
              <w:rPr>
                <w:rFonts w:ascii="Arial" w:hAnsi="Arial" w:cs="Arial"/>
                <w:i/>
                <w:lang w:val="es-ES"/>
              </w:rPr>
              <w:t>[</w:t>
            </w:r>
            <w:r w:rsidRPr="0093018A">
              <w:rPr>
                <w:rFonts w:ascii="Arial" w:hAnsi="Arial" w:cs="Arial"/>
                <w:i/>
                <w:color w:val="0000FF"/>
                <w:lang w:val="es-ES"/>
              </w:rPr>
              <w:t>Núm</w:t>
            </w:r>
            <w:r w:rsidRPr="00925017">
              <w:rPr>
                <w:rFonts w:ascii="Arial" w:hAnsi="Arial" w:cs="Arial"/>
                <w:i/>
                <w:lang w:val="es-ES"/>
              </w:rPr>
              <w:t xml:space="preserve">.] </w:t>
            </w:r>
            <w:r>
              <w:rPr>
                <w:rFonts w:ascii="Arial" w:hAnsi="Arial" w:cs="Arial"/>
                <w:i/>
                <w:lang w:val="es-ES"/>
              </w:rPr>
              <w:t xml:space="preserve">días </w:t>
            </w:r>
            <w:r w:rsidRPr="00925017">
              <w:rPr>
                <w:rFonts w:ascii="Arial" w:hAnsi="Arial" w:cs="Arial"/>
                <w:i/>
                <w:lang w:val="es-ES"/>
              </w:rPr>
              <w:t>para enviar las imágenes de RM al equipo investigado</w:t>
            </w:r>
            <w:r>
              <w:rPr>
                <w:rFonts w:ascii="Arial" w:hAnsi="Arial" w:cs="Arial"/>
                <w:i/>
                <w:lang w:val="es-ES"/>
              </w:rPr>
              <w:t>r</w:t>
            </w:r>
            <w:r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732CEA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A" w:rsidRPr="00925017" w:rsidRDefault="00732CEA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92501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Reducción en el tiempo de notificación al equipo investigador de hallazgos incidentales (plazo inferior a 7 días desde la fecha de la exploración) (se valorará de manera proporcional).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highlight w:val="yellow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i/>
                <w:strike/>
                <w:highlight w:val="yellow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925017" w:rsidP="00C634B3">
            <w:pPr>
              <w:jc w:val="center"/>
              <w:rPr>
                <w:rFonts w:ascii="Arial" w:hAnsi="Arial" w:cs="Arial"/>
                <w:i/>
                <w:highlight w:val="yellow"/>
                <w:lang w:val="es-ES"/>
              </w:rPr>
            </w:pPr>
            <w:r w:rsidRPr="00925017">
              <w:rPr>
                <w:rFonts w:ascii="Arial" w:hAnsi="Arial" w:cs="Arial"/>
                <w:i/>
                <w:lang w:val="es-ES"/>
              </w:rPr>
              <w:t>[</w:t>
            </w:r>
            <w:r w:rsidRPr="0093018A">
              <w:rPr>
                <w:rFonts w:ascii="Arial" w:hAnsi="Arial" w:cs="Arial"/>
                <w:i/>
                <w:color w:val="0000FF"/>
                <w:lang w:val="es-ES"/>
              </w:rPr>
              <w:t>Núm</w:t>
            </w:r>
            <w:r w:rsidRPr="00925017">
              <w:rPr>
                <w:rFonts w:ascii="Arial" w:hAnsi="Arial" w:cs="Arial"/>
                <w:i/>
                <w:lang w:val="es-ES"/>
              </w:rPr>
              <w:t xml:space="preserve">.] </w:t>
            </w:r>
            <w:r>
              <w:rPr>
                <w:rFonts w:ascii="Arial" w:hAnsi="Arial" w:cs="Arial"/>
                <w:i/>
                <w:lang w:val="es-ES"/>
              </w:rPr>
              <w:t>días para la notificación al equipo investigador de hallazgos incidentales, desde la fecha de la exploración.</w:t>
            </w:r>
          </w:p>
        </w:tc>
      </w:tr>
      <w:tr w:rsidR="00732CEA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A" w:rsidRPr="00925017" w:rsidRDefault="00732CEA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92501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La empresa licitadora dispone de un porcentaje de contratación indefinida entre la plantilla que ejecutará el contrato superior al 50% (se valorará de manera proporcional).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highlight w:val="yellow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i/>
                <w:strike/>
                <w:highlight w:val="yellow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Default="00925017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925017">
              <w:rPr>
                <w:rFonts w:ascii="Arial" w:hAnsi="Arial" w:cs="Arial"/>
                <w:i/>
                <w:lang w:val="es-ES"/>
              </w:rPr>
              <w:t>[</w:t>
            </w:r>
            <w:r w:rsidRPr="0093018A">
              <w:rPr>
                <w:rFonts w:ascii="Arial" w:hAnsi="Arial" w:cs="Arial"/>
                <w:i/>
                <w:color w:val="0000FF"/>
                <w:lang w:val="es-ES"/>
              </w:rPr>
              <w:t>Núm</w:t>
            </w:r>
            <w:r w:rsidRPr="00925017">
              <w:rPr>
                <w:rFonts w:ascii="Arial" w:hAnsi="Arial" w:cs="Arial"/>
                <w:i/>
                <w:lang w:val="es-ES"/>
              </w:rPr>
              <w:t>.] % de contratación indefinida entre la plantilla ejecutará el contrato.</w:t>
            </w:r>
          </w:p>
          <w:p w:rsidR="00925017" w:rsidRDefault="00925017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  <w:p w:rsidR="00925017" w:rsidRPr="0097402B" w:rsidRDefault="00925017" w:rsidP="00C634B3">
            <w:pPr>
              <w:jc w:val="center"/>
              <w:rPr>
                <w:rFonts w:ascii="Arial" w:hAnsi="Arial" w:cs="Arial"/>
                <w:i/>
                <w:highlight w:val="yellow"/>
                <w:lang w:val="es-ES"/>
              </w:rPr>
            </w:pPr>
            <w:r w:rsidRPr="007231EA">
              <w:rPr>
                <w:rFonts w:ascii="Arial" w:hAnsi="Arial" w:cs="Arial"/>
                <w:i/>
                <w:highlight w:val="lightGray"/>
                <w:lang w:val="es-ES"/>
              </w:rPr>
              <w:t>-Aportar documentación acreditativa-</w:t>
            </w:r>
          </w:p>
        </w:tc>
      </w:tr>
      <w:tr w:rsidR="00732CEA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A" w:rsidRPr="00925017" w:rsidRDefault="00732CEA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92501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La empresa licitadora dispone de la Acreditación de Calidad Asistencial </w:t>
            </w:r>
            <w:proofErr w:type="spellStart"/>
            <w:r w:rsidRPr="0092501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Quality</w:t>
            </w:r>
            <w:proofErr w:type="spellEnd"/>
            <w:r w:rsidRPr="0092501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Healthcare (QH).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highlight w:val="yellow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i/>
                <w:strike/>
                <w:highlight w:val="yellow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7231EA" w:rsidRDefault="00925017" w:rsidP="00C634B3">
            <w:pPr>
              <w:jc w:val="center"/>
              <w:rPr>
                <w:rFonts w:ascii="Arial" w:hAnsi="Arial" w:cs="Arial"/>
                <w:i/>
                <w:highlight w:val="lightGray"/>
                <w:lang w:val="es-ES"/>
              </w:rPr>
            </w:pPr>
            <w:r w:rsidRPr="007231EA">
              <w:rPr>
                <w:rFonts w:ascii="Arial" w:hAnsi="Arial" w:cs="Arial"/>
                <w:i/>
                <w:highlight w:val="lightGray"/>
                <w:lang w:val="es-ES"/>
              </w:rPr>
              <w:t>-Aportar documentación acreditativa-</w:t>
            </w:r>
          </w:p>
        </w:tc>
      </w:tr>
      <w:tr w:rsidR="00732CEA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A" w:rsidRPr="00925017" w:rsidRDefault="00732CEA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92501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La empresa licitadora dispone de la certificación ISO 9001 o equivalente.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highlight w:val="yellow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i/>
                <w:strike/>
                <w:highlight w:val="yellow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7231EA" w:rsidRDefault="00925017" w:rsidP="00C634B3">
            <w:pPr>
              <w:jc w:val="center"/>
              <w:rPr>
                <w:rFonts w:ascii="Arial" w:hAnsi="Arial" w:cs="Arial"/>
                <w:i/>
                <w:highlight w:val="lightGray"/>
                <w:lang w:val="es-ES"/>
              </w:rPr>
            </w:pPr>
            <w:r w:rsidRPr="007231EA">
              <w:rPr>
                <w:rFonts w:ascii="Arial" w:hAnsi="Arial" w:cs="Arial"/>
                <w:i/>
                <w:highlight w:val="lightGray"/>
                <w:lang w:val="es-ES"/>
              </w:rPr>
              <w:t>-Aportar documentación acreditativa-</w:t>
            </w:r>
          </w:p>
        </w:tc>
      </w:tr>
      <w:tr w:rsidR="00732CEA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A" w:rsidRPr="00925017" w:rsidRDefault="00732CEA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925017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La empresa licitadora dispone de la certificación ISO 14001 o equivalente.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highlight w:val="yellow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97402B" w:rsidRDefault="00732CEA" w:rsidP="00C634B3">
            <w:pPr>
              <w:jc w:val="center"/>
              <w:rPr>
                <w:rFonts w:ascii="Arial" w:hAnsi="Arial" w:cs="Arial"/>
                <w:i/>
                <w:strike/>
                <w:highlight w:val="yellow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EA" w:rsidRPr="007231EA" w:rsidRDefault="00925017" w:rsidP="00C634B3">
            <w:pPr>
              <w:jc w:val="center"/>
              <w:rPr>
                <w:rFonts w:ascii="Arial" w:hAnsi="Arial" w:cs="Arial"/>
                <w:i/>
                <w:highlight w:val="lightGray"/>
                <w:lang w:val="es-ES"/>
              </w:rPr>
            </w:pPr>
            <w:r w:rsidRPr="007231EA">
              <w:rPr>
                <w:rFonts w:ascii="Arial" w:hAnsi="Arial" w:cs="Arial"/>
                <w:i/>
                <w:highlight w:val="lightGray"/>
                <w:lang w:val="es-ES"/>
              </w:rPr>
              <w:t>-Aportar documentación acreditativa-</w:t>
            </w:r>
          </w:p>
        </w:tc>
      </w:tr>
    </w:tbl>
    <w:p w:rsidR="0012792D" w:rsidRPr="001F23AC" w:rsidRDefault="0012792D" w:rsidP="0012792D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1F56DA" w:rsidRPr="001F23AC" w:rsidRDefault="001F56DA" w:rsidP="0012792D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12792D" w:rsidRPr="001F23AC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1F23AC">
        <w:rPr>
          <w:rFonts w:ascii="Arial" w:hAnsi="Arial" w:cs="Arial"/>
          <w:lang w:val="es-ES"/>
        </w:rPr>
        <w:t>Firmado,</w:t>
      </w: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1F23AC" w:rsidRDefault="001F23AC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1F23AC" w:rsidRDefault="001F23AC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1F23AC" w:rsidRPr="001F23AC" w:rsidRDefault="001F23AC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327B6E" w:rsidRPr="001F23AC" w:rsidRDefault="00327B6E" w:rsidP="00296663">
      <w:pPr>
        <w:jc w:val="center"/>
        <w:rPr>
          <w:rFonts w:ascii="Arial" w:hAnsi="Arial" w:cs="Arial"/>
          <w:i/>
          <w:lang w:val="es-ES"/>
        </w:rPr>
      </w:pPr>
      <w:r w:rsidRPr="001F23AC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45672B" w:rsidRPr="001F23AC" w:rsidRDefault="00327B6E" w:rsidP="000E555D">
      <w:pPr>
        <w:jc w:val="center"/>
        <w:rPr>
          <w:rFonts w:ascii="Arial" w:hAnsi="Arial" w:cs="Arial"/>
          <w:i/>
        </w:rPr>
      </w:pPr>
      <w:r w:rsidRPr="001F23AC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1F23AC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align>left</wp:align>
          </wp:positionH>
          <wp:positionV relativeFrom="paragraph">
            <wp:posOffset>16934</wp:posOffset>
          </wp:positionV>
          <wp:extent cx="2689225" cy="773430"/>
          <wp:effectExtent l="0" t="0" r="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23AC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5B5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1EA"/>
    <w:rsid w:val="00723823"/>
    <w:rsid w:val="007266FE"/>
    <w:rsid w:val="00726A5A"/>
    <w:rsid w:val="00732CE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017"/>
    <w:rsid w:val="00925F02"/>
    <w:rsid w:val="0093018A"/>
    <w:rsid w:val="009438BE"/>
    <w:rsid w:val="00950E2C"/>
    <w:rsid w:val="009538ED"/>
    <w:rsid w:val="00955B18"/>
    <w:rsid w:val="0096067A"/>
    <w:rsid w:val="00966531"/>
    <w:rsid w:val="00971704"/>
    <w:rsid w:val="00973522"/>
    <w:rsid w:val="0097402B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BF1608"/>
    <w:rsid w:val="00C0440A"/>
    <w:rsid w:val="00C07C8C"/>
    <w:rsid w:val="00C11600"/>
    <w:rsid w:val="00C215F3"/>
    <w:rsid w:val="00C227D3"/>
    <w:rsid w:val="00C23E67"/>
    <w:rsid w:val="00C32A99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06FC021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7EF2-44B8-4226-A04E-FED300AA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82</cp:revision>
  <cp:lastPrinted>2018-06-11T10:35:00Z</cp:lastPrinted>
  <dcterms:created xsi:type="dcterms:W3CDTF">2022-02-16T08:00:00Z</dcterms:created>
  <dcterms:modified xsi:type="dcterms:W3CDTF">2024-03-27T08:57:00Z</dcterms:modified>
</cp:coreProperties>
</file>